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252</w:t>
      </w:r>
    </w:p>
    <w:p>
      <w:r>
        <w:t>Bundesgericht (BGE), 1997-08-27, FR</w:t>
      </w:r>
    </w:p>
    <w:p>
      <w:r>
        <w:rPr>
          <w:b/>
        </w:rPr>
        <w:t xml:space="preserve">Quelle: </w:t>
      </w:r>
      <w:r>
        <w:t>https://mcp.opencaselaw.ch/entscheid/bge_123 IV 252</w:t>
      </w:r>
    </w:p>
    <w:p>
      <w:r>
        <w:t>FR: ATF 123 IV 252</w:t>
      </w:r>
    </w:p>
    <w:p>
      <w:r>
        <w:t>IT: DTF 123 IV 252</w:t>
      </w:r>
    </w:p>
    <w:p>
      <w:pPr>
        <w:pStyle w:val="Heading2"/>
      </w:pPr>
      <w:r>
        <w:t>Regeste</w:t>
      </w:r>
    </w:p>
    <w:p>
      <w:r>
        <w:t>Regeste Art. 268 BStP; Zulässigkeit der Nichtigkeitsbeschwerde. Der letztinstanzliche kantonale Entscheid über die Zulässigkeit der Anklage kann nicht Gegenstand der Nichtigkeitsbeschwerde sein (E. 1, Bestätigung der Rechtsprechung).</w:t>
      </w:r>
    </w:p>
    <w:p>
      <w:pPr>
        <w:pStyle w:val="Heading2"/>
      </w:pPr>
      <w:r>
        <w:t>Erwägungen</w:t>
      </w:r>
    </w:p>
    <w:p>
      <w:r>
        <w:rPr>
          <w:b/>
        </w:rPr>
        <w:t>E. 1</w:t>
      </w:r>
    </w:p>
    <w:p>
      <w:r>
        <w:t>Le pourvoi en nullité n'a qu'un caractère cassatoire ( art. 277ter al. 1 PPF ), de sorte que les conclusions du recourant sont irrecevables dans la mesure où elles tendent à autre chose qu'à l'annulation de la décision attaquée et au renvoi de la cause à l'autorité cantonale pour qu'il soit statué à nouveau (cf. ATF 119 IV 17 consid. 1; ATF 117 IV 276 consid. 1, 452 consid. 1; ATF 108 IV 154 consid. 1b; ATF 106 IV 194 consid. 1a). BGE 123 IV 252 S. 253 Le pourvoi en nullité est en principe ouvert contre des jugements pénaux, des ordonnances de non-lieu ou des prononcés pénaux administratifs rendus en dernière instance ( art. 268 PPF ). En l'espèce, il est manifeste que la décision attaquée n'est pas un prononcé pénal d'une autorité administrative qui ne pourrait pas donner lieu à un recours aux tribunaux, en violation de l' art. 6 par. 1 CEDH ( art. 268 ch. 3 PPF ). Il ne s'agit pas non plus d'une ordonnance de non-lieu rendue en dernière instance ( art. 268 ch. 2 PPF ). Par ordonnance de non-lieu, il faut entendre une décision rendue par une autre autorité que la juridiction de jugement qui met fin à l'action pénale au moins sur un chef d'accusation ( ATF 122 IV 45 consid. 1c; ATF 120 IV 78 consid. 1b, 107 consid. 1a; ATF 119 IV 92 consid. 1b, 207 consid. 1a, 339 consid. 1a; ATF 117 IV 233 consid. 1b). Or, la décision attaquée ne met pas fin à l'action pénale, puisqu'elle ordonne au contraire le renvoi du recourant devant l'autorité de jugement pour y être jugé sous l'accusation de tentative d'escroquerie. Il reste à examiner s'il s'agit d'un jugement au sens de l' art. 268 ch. 1 PPF . Par jugement, il faut entendre non seulement la décision finale qui met un terme à l'action pénale, mais aussi toute décision prise séparément si elle tranche définitivement, sur le plan cantonal, une question de droit fédéral ( ATF 119 IV 168 consid. 2a; ATF 111 IV 189 consid. 2). Il ressort de la décision attaquée qu'elle ne tranche pas, sur le plan cantonal, la question de savoir si le recourant s'est ou non rendu coupable d'une tentative d'escroquerie; la question est au contraire soumise à l'autorité de jugement pour être tranchée. La décision attaquée provoque seulement l'avancement de la procédure, mais ne tranche pas définitivement, sur le plan cantonal, une question de droit fédéral; elle ne constitue donc pas un jugement. Le renvoi d'un accusé devant l'autorité de jugement n'est pas susceptible d'un pourvoi en nullité ( ATF 103 IV 59 consid. 2; ATF 83 IV 211 ; CORBOZ, Le pourvoi en nullité, SJ 1991 p. 64; SCHWERI, Eidgenössische Nichtigkeitsbeschwerde in Strafsachen, Berne 1993, p. 48 no 92); conformément à une jurisprudence constante, il ne peut au demeurant pas non plus faire l'objet d'un recours de droit public pour violation de l' art. 4 Cst. ( ATF 63 I 313 , confirmé en dernier lieu par l' ATF 115 Ia 311 consid. 2c; WALTER KÄLIN, Das Verfahren der staatsrechtlichen Beschwerde, 2e éd., Berne 1994, p. 344).</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